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C4D14">
        <w:rPr>
          <w:rFonts w:ascii="Times New Roman" w:hAnsi="Times New Roman"/>
          <w:sz w:val="22"/>
          <w:szCs w:val="22"/>
          <w:lang w:val="uk-UA"/>
        </w:rPr>
        <w:t>металопрокат</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p w:rsidR="00445031" w:rsidRPr="009E6DC3" w:rsidRDefault="00445031" w:rsidP="002A6362">
      <w:pPr>
        <w:jc w:val="both"/>
        <w:rPr>
          <w:rFonts w:ascii="Times New Roman" w:hAnsi="Times New Roman"/>
          <w:sz w:val="22"/>
          <w:szCs w:val="2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536"/>
        <w:gridCol w:w="709"/>
        <w:gridCol w:w="992"/>
        <w:gridCol w:w="1276"/>
        <w:gridCol w:w="1559"/>
      </w:tblGrid>
      <w:tr w:rsidR="00280829" w:rsidRPr="00581463" w:rsidTr="007719F6">
        <w:trPr>
          <w:trHeight w:val="533"/>
        </w:trPr>
        <w:tc>
          <w:tcPr>
            <w:tcW w:w="567"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w:t>
            </w:r>
          </w:p>
          <w:p w:rsidR="00280829" w:rsidRPr="009E6DC3" w:rsidRDefault="007754A8" w:rsidP="002A6362">
            <w:pPr>
              <w:jc w:val="both"/>
              <w:rPr>
                <w:rFonts w:ascii="Times New Roman" w:hAnsi="Times New Roman"/>
                <w:sz w:val="22"/>
                <w:szCs w:val="22"/>
                <w:lang w:val="uk-UA"/>
              </w:rPr>
            </w:pPr>
            <w:r w:rsidRPr="009E6DC3">
              <w:rPr>
                <w:rFonts w:ascii="Times New Roman" w:hAnsi="Times New Roman"/>
                <w:sz w:val="22"/>
                <w:szCs w:val="22"/>
                <w:lang w:val="uk-UA"/>
              </w:rPr>
              <w:t>з</w:t>
            </w:r>
            <w:r w:rsidR="00280829" w:rsidRPr="009E6DC3">
              <w:rPr>
                <w:rFonts w:ascii="Times New Roman" w:hAnsi="Times New Roman"/>
                <w:sz w:val="22"/>
                <w:szCs w:val="22"/>
                <w:lang w:val="uk-UA"/>
              </w:rPr>
              <w:t>/п</w:t>
            </w:r>
          </w:p>
        </w:tc>
        <w:tc>
          <w:tcPr>
            <w:tcW w:w="4536" w:type="dxa"/>
            <w:shd w:val="clear" w:color="auto" w:fill="auto"/>
          </w:tcPr>
          <w:p w:rsidR="00280829" w:rsidRPr="009E6DC3" w:rsidRDefault="00280829" w:rsidP="009E6DC3">
            <w:pPr>
              <w:jc w:val="both"/>
              <w:rPr>
                <w:rFonts w:ascii="Times New Roman" w:hAnsi="Times New Roman"/>
                <w:sz w:val="22"/>
                <w:szCs w:val="22"/>
                <w:lang w:val="uk-UA"/>
              </w:rPr>
            </w:pPr>
            <w:r w:rsidRPr="009E6DC3">
              <w:rPr>
                <w:rFonts w:ascii="Times New Roman" w:hAnsi="Times New Roman"/>
                <w:sz w:val="22"/>
                <w:szCs w:val="22"/>
                <w:lang w:val="uk-UA"/>
              </w:rPr>
              <w:t>Найменування товару</w:t>
            </w:r>
          </w:p>
        </w:tc>
        <w:tc>
          <w:tcPr>
            <w:tcW w:w="709"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Од. вим.</w:t>
            </w:r>
          </w:p>
        </w:tc>
        <w:tc>
          <w:tcPr>
            <w:tcW w:w="992" w:type="dxa"/>
            <w:shd w:val="clear" w:color="auto" w:fill="auto"/>
          </w:tcPr>
          <w:p w:rsidR="00280829"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Кіль-кість</w:t>
            </w:r>
          </w:p>
        </w:tc>
        <w:tc>
          <w:tcPr>
            <w:tcW w:w="1276" w:type="dxa"/>
            <w:shd w:val="clear" w:color="auto" w:fill="auto"/>
          </w:tcPr>
          <w:p w:rsidR="00280829" w:rsidRPr="009E6DC3" w:rsidRDefault="00280829" w:rsidP="000A02EC">
            <w:pPr>
              <w:rPr>
                <w:rFonts w:ascii="Times New Roman" w:hAnsi="Times New Roman"/>
                <w:sz w:val="22"/>
                <w:szCs w:val="22"/>
                <w:lang w:val="uk-UA"/>
              </w:rPr>
            </w:pPr>
            <w:r w:rsidRPr="009E6DC3">
              <w:rPr>
                <w:rFonts w:ascii="Times New Roman" w:hAnsi="Times New Roman"/>
                <w:sz w:val="22"/>
                <w:szCs w:val="22"/>
                <w:lang w:val="uk-UA"/>
              </w:rPr>
              <w:t>Ціна</w:t>
            </w:r>
            <w:r w:rsidR="00791183" w:rsidRPr="009E6DC3">
              <w:rPr>
                <w:rFonts w:ascii="Times New Roman" w:hAnsi="Times New Roman"/>
                <w:sz w:val="22"/>
                <w:szCs w:val="22"/>
                <w:lang w:val="uk-UA"/>
              </w:rPr>
              <w:t xml:space="preserve"> за од.</w:t>
            </w:r>
            <w:r w:rsidR="000A02EC" w:rsidRPr="009E6DC3">
              <w:rPr>
                <w:rFonts w:ascii="Times New Roman" w:hAnsi="Times New Roman"/>
                <w:sz w:val="22"/>
                <w:szCs w:val="22"/>
                <w:lang w:val="uk-UA"/>
              </w:rPr>
              <w:t>,</w:t>
            </w:r>
            <w:r w:rsidR="002A6362" w:rsidRPr="009E6DC3">
              <w:rPr>
                <w:rFonts w:ascii="Times New Roman" w:hAnsi="Times New Roman"/>
                <w:sz w:val="22"/>
                <w:szCs w:val="22"/>
                <w:lang w:val="uk-UA"/>
              </w:rPr>
              <w:t xml:space="preserve"> грн. бе</w:t>
            </w:r>
            <w:r w:rsidRPr="009E6DC3">
              <w:rPr>
                <w:rFonts w:ascii="Times New Roman" w:hAnsi="Times New Roman"/>
                <w:sz w:val="22"/>
                <w:szCs w:val="22"/>
                <w:lang w:val="uk-UA"/>
              </w:rPr>
              <w:t>з ПДВ</w:t>
            </w:r>
          </w:p>
        </w:tc>
        <w:tc>
          <w:tcPr>
            <w:tcW w:w="1559" w:type="dxa"/>
            <w:shd w:val="clear" w:color="auto" w:fill="auto"/>
          </w:tcPr>
          <w:p w:rsidR="002A6362" w:rsidRPr="009E6DC3" w:rsidRDefault="00280829" w:rsidP="002A6362">
            <w:pPr>
              <w:jc w:val="both"/>
              <w:rPr>
                <w:rFonts w:ascii="Times New Roman" w:hAnsi="Times New Roman"/>
                <w:sz w:val="22"/>
                <w:szCs w:val="22"/>
                <w:lang w:val="uk-UA"/>
              </w:rPr>
            </w:pPr>
            <w:r w:rsidRPr="009E6DC3">
              <w:rPr>
                <w:rFonts w:ascii="Times New Roman" w:hAnsi="Times New Roman"/>
                <w:sz w:val="22"/>
                <w:szCs w:val="22"/>
                <w:lang w:val="uk-UA"/>
              </w:rPr>
              <w:t>Сума</w:t>
            </w:r>
            <w:r w:rsidR="002A6362" w:rsidRPr="009E6DC3">
              <w:rPr>
                <w:rFonts w:ascii="Times New Roman" w:hAnsi="Times New Roman"/>
                <w:sz w:val="22"/>
                <w:szCs w:val="22"/>
                <w:lang w:val="uk-UA"/>
              </w:rPr>
              <w:t xml:space="preserve">, грн. </w:t>
            </w:r>
          </w:p>
          <w:p w:rsidR="00280829" w:rsidRPr="009E6DC3" w:rsidRDefault="002A6362" w:rsidP="002A6362">
            <w:pPr>
              <w:jc w:val="both"/>
              <w:rPr>
                <w:rFonts w:ascii="Times New Roman" w:hAnsi="Times New Roman"/>
                <w:sz w:val="22"/>
                <w:szCs w:val="22"/>
                <w:lang w:val="uk-UA"/>
              </w:rPr>
            </w:pPr>
            <w:r w:rsidRPr="009E6DC3">
              <w:rPr>
                <w:rFonts w:ascii="Times New Roman" w:hAnsi="Times New Roman"/>
                <w:sz w:val="22"/>
                <w:szCs w:val="22"/>
                <w:lang w:val="uk-UA"/>
              </w:rPr>
              <w:t xml:space="preserve">без </w:t>
            </w:r>
            <w:r w:rsidR="00280829" w:rsidRPr="009E6DC3">
              <w:rPr>
                <w:rFonts w:ascii="Times New Roman" w:hAnsi="Times New Roman"/>
                <w:sz w:val="22"/>
                <w:szCs w:val="22"/>
                <w:lang w:val="uk-UA"/>
              </w:rPr>
              <w:t>ПДВ</w:t>
            </w:r>
          </w:p>
        </w:tc>
      </w:tr>
      <w:tr w:rsidR="00D72FC1" w:rsidRPr="00581463" w:rsidTr="00E14D77">
        <w:trPr>
          <w:trHeight w:val="415"/>
        </w:trPr>
        <w:tc>
          <w:tcPr>
            <w:tcW w:w="567" w:type="dxa"/>
            <w:shd w:val="clear" w:color="auto" w:fill="auto"/>
          </w:tcPr>
          <w:p w:rsidR="00D72FC1" w:rsidRPr="009E6DC3" w:rsidRDefault="00D72FC1" w:rsidP="002A6362">
            <w:pPr>
              <w:ind w:right="-54"/>
              <w:jc w:val="both"/>
              <w:rPr>
                <w:rFonts w:ascii="Times New Roman" w:hAnsi="Times New Roman"/>
                <w:sz w:val="22"/>
                <w:szCs w:val="22"/>
                <w:lang w:val="uk-UA"/>
              </w:rPr>
            </w:pPr>
            <w:r w:rsidRPr="009E6DC3">
              <w:rPr>
                <w:rFonts w:ascii="Times New Roman" w:hAnsi="Times New Roman"/>
                <w:sz w:val="22"/>
                <w:szCs w:val="22"/>
                <w:lang w:val="uk-UA"/>
              </w:rPr>
              <w:t>1.</w:t>
            </w:r>
          </w:p>
        </w:tc>
        <w:tc>
          <w:tcPr>
            <w:tcW w:w="4536" w:type="dxa"/>
            <w:shd w:val="clear" w:color="auto" w:fill="auto"/>
            <w:vAlign w:val="center"/>
          </w:tcPr>
          <w:p w:rsidR="00D72FC1" w:rsidRDefault="00E50F6F">
            <w:pPr>
              <w:rPr>
                <w:color w:val="000000"/>
                <w:sz w:val="20"/>
                <w:szCs w:val="20"/>
              </w:rPr>
            </w:pPr>
            <w:r w:rsidRPr="00E50F6F">
              <w:rPr>
                <w:color w:val="000000"/>
                <w:sz w:val="20"/>
                <w:szCs w:val="20"/>
              </w:rPr>
              <w:t>Болт М24*80 (СХП.07.24.3п.84.1791.00.01 ремонт елеваторів поз. ПТ103, ПТ105)</w:t>
            </w:r>
          </w:p>
        </w:tc>
        <w:tc>
          <w:tcPr>
            <w:tcW w:w="709" w:type="dxa"/>
            <w:shd w:val="clear" w:color="auto" w:fill="auto"/>
          </w:tcPr>
          <w:p w:rsidR="00D72FC1" w:rsidRPr="009E6DC3" w:rsidRDefault="00E50F6F" w:rsidP="002A6362">
            <w:pPr>
              <w:suppressAutoHyphens/>
              <w:jc w:val="both"/>
              <w:rPr>
                <w:rFonts w:eastAsia="Lucida Sans Unicode"/>
                <w:kern w:val="2"/>
                <w:sz w:val="22"/>
                <w:szCs w:val="22"/>
                <w:lang w:val="uk-UA"/>
              </w:rPr>
            </w:pPr>
            <w:r>
              <w:rPr>
                <w:rFonts w:eastAsia="Lucida Sans Unicode"/>
                <w:kern w:val="2"/>
                <w:sz w:val="22"/>
                <w:szCs w:val="22"/>
                <w:lang w:val="uk-UA"/>
              </w:rPr>
              <w:t>кг</w:t>
            </w:r>
          </w:p>
          <w:p w:rsidR="00D72FC1" w:rsidRPr="009E6DC3" w:rsidRDefault="00D72FC1" w:rsidP="002A6362">
            <w:pPr>
              <w:suppressAutoHyphens/>
              <w:jc w:val="both"/>
              <w:rPr>
                <w:rFonts w:eastAsia="Lucida Sans Unicode"/>
                <w:kern w:val="2"/>
                <w:sz w:val="22"/>
                <w:szCs w:val="22"/>
                <w:lang w:val="uk-UA"/>
              </w:rPr>
            </w:pPr>
          </w:p>
        </w:tc>
        <w:tc>
          <w:tcPr>
            <w:tcW w:w="992" w:type="dxa"/>
            <w:shd w:val="clear" w:color="auto" w:fill="auto"/>
            <w:vAlign w:val="center"/>
          </w:tcPr>
          <w:p w:rsidR="00D72FC1" w:rsidRDefault="00E50F6F">
            <w:pPr>
              <w:jc w:val="center"/>
              <w:rPr>
                <w:color w:val="000000"/>
                <w:sz w:val="20"/>
                <w:szCs w:val="20"/>
              </w:rPr>
            </w:pPr>
            <w:r w:rsidRPr="00E50F6F">
              <w:rPr>
                <w:rFonts w:eastAsia="Lucida Sans Unicode"/>
                <w:kern w:val="2"/>
                <w:sz w:val="22"/>
                <w:szCs w:val="22"/>
                <w:lang w:val="uk-UA"/>
              </w:rPr>
              <w:t>60,000</w:t>
            </w:r>
          </w:p>
        </w:tc>
        <w:tc>
          <w:tcPr>
            <w:tcW w:w="1276" w:type="dxa"/>
            <w:shd w:val="clear" w:color="auto" w:fill="auto"/>
            <w:vAlign w:val="bottom"/>
          </w:tcPr>
          <w:p w:rsidR="00D72FC1" w:rsidRPr="009E6DC3" w:rsidRDefault="00D72FC1" w:rsidP="00813BB8">
            <w:pPr>
              <w:suppressAutoHyphens/>
              <w:jc w:val="both"/>
              <w:rPr>
                <w:rFonts w:eastAsia="Lucida Sans Unicode"/>
                <w:kern w:val="2"/>
                <w:sz w:val="22"/>
                <w:szCs w:val="22"/>
                <w:lang w:val="uk-UA"/>
              </w:rPr>
            </w:pPr>
          </w:p>
        </w:tc>
        <w:tc>
          <w:tcPr>
            <w:tcW w:w="1559" w:type="dxa"/>
            <w:shd w:val="clear" w:color="auto" w:fill="auto"/>
            <w:vAlign w:val="bottom"/>
          </w:tcPr>
          <w:p w:rsidR="00D72FC1" w:rsidRPr="009E6DC3" w:rsidRDefault="00D72FC1" w:rsidP="007D16F9">
            <w:pPr>
              <w:suppressAutoHyphens/>
              <w:jc w:val="both"/>
              <w:rPr>
                <w:rFonts w:eastAsia="Lucida Sans Unicode"/>
                <w:kern w:val="2"/>
                <w:sz w:val="22"/>
                <w:szCs w:val="22"/>
                <w:lang w:val="uk-UA"/>
              </w:rPr>
            </w:pPr>
          </w:p>
        </w:tc>
      </w:tr>
      <w:tr w:rsidR="00D72FC1" w:rsidRPr="00581463" w:rsidTr="00E14D77">
        <w:trPr>
          <w:trHeight w:val="273"/>
        </w:trPr>
        <w:tc>
          <w:tcPr>
            <w:tcW w:w="567" w:type="dxa"/>
            <w:shd w:val="clear" w:color="auto" w:fill="auto"/>
          </w:tcPr>
          <w:p w:rsidR="00D72FC1" w:rsidRPr="009E6DC3" w:rsidRDefault="00D72FC1" w:rsidP="002A6362">
            <w:pPr>
              <w:ind w:right="-54"/>
              <w:jc w:val="both"/>
              <w:rPr>
                <w:rFonts w:ascii="Times New Roman" w:hAnsi="Times New Roman"/>
                <w:sz w:val="22"/>
                <w:szCs w:val="22"/>
                <w:lang w:val="uk-UA"/>
              </w:rPr>
            </w:pPr>
            <w:r>
              <w:rPr>
                <w:rFonts w:ascii="Times New Roman" w:hAnsi="Times New Roman"/>
                <w:sz w:val="22"/>
                <w:szCs w:val="22"/>
                <w:lang w:val="uk-UA"/>
              </w:rPr>
              <w:t>2</w:t>
            </w:r>
          </w:p>
        </w:tc>
        <w:tc>
          <w:tcPr>
            <w:tcW w:w="4536" w:type="dxa"/>
            <w:shd w:val="clear" w:color="auto" w:fill="auto"/>
            <w:vAlign w:val="center"/>
          </w:tcPr>
          <w:p w:rsidR="00D72FC1" w:rsidRDefault="00E50F6F">
            <w:pPr>
              <w:rPr>
                <w:color w:val="000000"/>
                <w:sz w:val="20"/>
                <w:szCs w:val="20"/>
              </w:rPr>
            </w:pPr>
            <w:r w:rsidRPr="00E50F6F">
              <w:rPr>
                <w:color w:val="000000"/>
                <w:sz w:val="20"/>
                <w:szCs w:val="20"/>
              </w:rPr>
              <w:t>Болт М30*95 (СХП.07.24.3п.84.1791.00.02 ремонт елеваторів поз. ПТ103, ПТ105)</w:t>
            </w:r>
          </w:p>
        </w:tc>
        <w:tc>
          <w:tcPr>
            <w:tcW w:w="709" w:type="dxa"/>
            <w:shd w:val="clear" w:color="auto" w:fill="auto"/>
          </w:tcPr>
          <w:p w:rsidR="00D72FC1" w:rsidRPr="009E6DC3" w:rsidRDefault="00E50F6F" w:rsidP="002A6362">
            <w:pPr>
              <w:suppressAutoHyphens/>
              <w:jc w:val="both"/>
              <w:rPr>
                <w:rFonts w:eastAsia="Lucida Sans Unicode"/>
                <w:kern w:val="2"/>
                <w:sz w:val="22"/>
                <w:szCs w:val="22"/>
                <w:lang w:val="uk-UA"/>
              </w:rPr>
            </w:pPr>
            <w:r>
              <w:rPr>
                <w:rFonts w:eastAsia="Lucida Sans Unicode"/>
                <w:kern w:val="2"/>
                <w:sz w:val="22"/>
                <w:szCs w:val="22"/>
                <w:lang w:val="uk-UA"/>
              </w:rPr>
              <w:t>кг</w:t>
            </w:r>
          </w:p>
        </w:tc>
        <w:tc>
          <w:tcPr>
            <w:tcW w:w="992" w:type="dxa"/>
            <w:shd w:val="clear" w:color="auto" w:fill="auto"/>
            <w:vAlign w:val="center"/>
          </w:tcPr>
          <w:p w:rsidR="00D72FC1" w:rsidRDefault="00E50F6F">
            <w:pPr>
              <w:jc w:val="center"/>
              <w:rPr>
                <w:color w:val="000000"/>
                <w:sz w:val="20"/>
                <w:szCs w:val="20"/>
              </w:rPr>
            </w:pPr>
            <w:r w:rsidRPr="00E50F6F">
              <w:rPr>
                <w:color w:val="000000"/>
                <w:sz w:val="20"/>
                <w:szCs w:val="20"/>
              </w:rPr>
              <w:t>110,000</w:t>
            </w:r>
          </w:p>
        </w:tc>
        <w:tc>
          <w:tcPr>
            <w:tcW w:w="1276" w:type="dxa"/>
            <w:shd w:val="clear" w:color="auto" w:fill="auto"/>
            <w:vAlign w:val="bottom"/>
          </w:tcPr>
          <w:p w:rsidR="00D72FC1" w:rsidRPr="009E6DC3" w:rsidRDefault="00D72FC1" w:rsidP="00813BB8">
            <w:pPr>
              <w:suppressAutoHyphens/>
              <w:jc w:val="both"/>
              <w:rPr>
                <w:rFonts w:eastAsia="Lucida Sans Unicode"/>
                <w:kern w:val="2"/>
                <w:sz w:val="22"/>
                <w:szCs w:val="22"/>
                <w:lang w:val="uk-UA"/>
              </w:rPr>
            </w:pPr>
          </w:p>
        </w:tc>
        <w:tc>
          <w:tcPr>
            <w:tcW w:w="1559" w:type="dxa"/>
            <w:shd w:val="clear" w:color="auto" w:fill="auto"/>
            <w:vAlign w:val="bottom"/>
          </w:tcPr>
          <w:p w:rsidR="00D72FC1" w:rsidRPr="009E6DC3" w:rsidRDefault="00D72FC1" w:rsidP="007D16F9">
            <w:pPr>
              <w:suppressAutoHyphens/>
              <w:jc w:val="both"/>
              <w:rPr>
                <w:rFonts w:eastAsia="Lucida Sans Unicode"/>
                <w:kern w:val="2"/>
                <w:sz w:val="22"/>
                <w:szCs w:val="22"/>
                <w:lang w:val="uk-UA"/>
              </w:rPr>
            </w:pP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r w:rsidRPr="009E6DC3">
              <w:rPr>
                <w:rFonts w:ascii="Times New Roman" w:hAnsi="Times New Roman"/>
                <w:sz w:val="22"/>
                <w:szCs w:val="22"/>
                <w:lang w:val="uk-UA"/>
              </w:rPr>
              <w:t xml:space="preserve">                                                                                                                           ПДВ</w:t>
            </w:r>
            <w:r w:rsidR="002A6362" w:rsidRPr="009E6DC3">
              <w:rPr>
                <w:rFonts w:ascii="Times New Roman" w:hAnsi="Times New Roman"/>
                <w:sz w:val="22"/>
                <w:szCs w:val="22"/>
                <w:lang w:val="uk-UA"/>
              </w:rPr>
              <w:t xml:space="preserve"> 20%</w:t>
            </w: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w:t>
            </w:r>
          </w:p>
        </w:tc>
        <w:tc>
          <w:tcPr>
            <w:tcW w:w="1559" w:type="dxa"/>
            <w:vAlign w:val="center"/>
          </w:tcPr>
          <w:p w:rsidR="007719F6" w:rsidRPr="009E6DC3" w:rsidRDefault="00F44591" w:rsidP="006A05E4">
            <w:pPr>
              <w:jc w:val="both"/>
              <w:rPr>
                <w:sz w:val="22"/>
                <w:szCs w:val="22"/>
                <w:lang w:val="uk-UA" w:eastAsia="ar-SA"/>
              </w:rPr>
            </w:pPr>
            <w:r>
              <w:rPr>
                <w:sz w:val="22"/>
                <w:szCs w:val="22"/>
                <w:lang w:val="uk-UA" w:eastAsia="ar-SA"/>
              </w:rPr>
              <w:t xml:space="preserve">  </w:t>
            </w:r>
          </w:p>
        </w:tc>
      </w:tr>
      <w:tr w:rsidR="007719F6" w:rsidRPr="00581463" w:rsidTr="00D74E44">
        <w:tblPrEx>
          <w:tblLook w:val="0000"/>
        </w:tblPrEx>
        <w:trPr>
          <w:trHeight w:val="273"/>
        </w:trPr>
        <w:tc>
          <w:tcPr>
            <w:tcW w:w="8080" w:type="dxa"/>
            <w:gridSpan w:val="5"/>
          </w:tcPr>
          <w:p w:rsidR="007719F6" w:rsidRPr="009E6DC3" w:rsidRDefault="007719F6"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w:t>
            </w:r>
            <w:r w:rsidR="002A6362" w:rsidRPr="009E6DC3">
              <w:rPr>
                <w:rFonts w:ascii="Times New Roman" w:hAnsi="Times New Roman"/>
                <w:sz w:val="22"/>
                <w:szCs w:val="22"/>
                <w:lang w:val="uk-UA"/>
              </w:rPr>
              <w:t>Всього з</w:t>
            </w:r>
            <w:r w:rsidRPr="009E6DC3">
              <w:rPr>
                <w:rFonts w:ascii="Times New Roman" w:hAnsi="Times New Roman"/>
                <w:sz w:val="22"/>
                <w:szCs w:val="22"/>
                <w:lang w:val="uk-UA"/>
              </w:rPr>
              <w:t xml:space="preserve">  ПДВ </w:t>
            </w:r>
            <w:r w:rsidR="002A6362" w:rsidRPr="009E6DC3">
              <w:rPr>
                <w:rFonts w:ascii="Times New Roman" w:hAnsi="Times New Roman"/>
                <w:sz w:val="22"/>
                <w:szCs w:val="22"/>
                <w:lang w:val="uk-UA"/>
              </w:rPr>
              <w:t>:</w:t>
            </w:r>
          </w:p>
        </w:tc>
        <w:tc>
          <w:tcPr>
            <w:tcW w:w="1559" w:type="dxa"/>
            <w:vAlign w:val="center"/>
          </w:tcPr>
          <w:p w:rsidR="007719F6" w:rsidRPr="009E6DC3" w:rsidRDefault="007719F6" w:rsidP="007D16F9">
            <w:pPr>
              <w:jc w:val="both"/>
              <w:rPr>
                <w:sz w:val="22"/>
                <w:szCs w:val="22"/>
                <w:lang w:val="uk-UA" w:eastAsia="ar-S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C4D14">
        <w:rPr>
          <w:sz w:val="22"/>
          <w:szCs w:val="22"/>
          <w:lang w:val="uk-UA"/>
        </w:rPr>
        <w:t xml:space="preserve"> вимогам паспорту ( сертифікату якості).</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C4D14">
        <w:rPr>
          <w:rFonts w:ascii="Times New Roman" w:hAnsi="Times New Roman"/>
          <w:sz w:val="22"/>
          <w:szCs w:val="22"/>
          <w:lang w:val="en-US"/>
        </w:rPr>
        <w:t>DDP</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w:t>
      </w:r>
      <w:r w:rsidR="001C4D14">
        <w:rPr>
          <w:rFonts w:ascii="Times New Roman" w:hAnsi="Times New Roman"/>
          <w:sz w:val="22"/>
          <w:szCs w:val="22"/>
          <w:lang w:val="uk-UA"/>
        </w:rPr>
        <w:t>КУПЦЯ</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00245E" w:rsidRPr="002D4340" w:rsidRDefault="0000245E" w:rsidP="002A6362">
      <w:pPr>
        <w:suppressAutoHyphens/>
        <w:autoSpaceDE/>
        <w:autoSpaceDN/>
        <w:adjustRightInd/>
        <w:jc w:val="both"/>
        <w:rPr>
          <w:rFonts w:ascii="Times New Roman" w:hAnsi="Times New Roman"/>
          <w:sz w:val="22"/>
          <w:szCs w:val="22"/>
          <w:lang w:val="uk-UA"/>
        </w:rPr>
      </w:pPr>
      <w:r w:rsidRPr="002D4340">
        <w:rPr>
          <w:rFonts w:ascii="Times New Roman" w:hAnsi="Times New Roman"/>
          <w:sz w:val="22"/>
          <w:szCs w:val="22"/>
          <w:lang w:val="uk-UA" w:eastAsia="ar-SA"/>
        </w:rPr>
        <w:t xml:space="preserve">3.1. Порядок та умови оплати: </w:t>
      </w:r>
      <w:r w:rsidR="000E12A6" w:rsidRPr="00581463">
        <w:rPr>
          <w:rFonts w:ascii="Times New Roman" w:hAnsi="Times New Roman"/>
          <w:sz w:val="22"/>
          <w:szCs w:val="22"/>
          <w:lang w:val="uk-UA" w:eastAsia="ar-SA"/>
        </w:rPr>
        <w:t>«ПОКУПЕЦЬ» здійснює</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 xml:space="preserve">100% </w:t>
      </w:r>
      <w:r w:rsidR="000E12A6" w:rsidRPr="00581463">
        <w:rPr>
          <w:rFonts w:ascii="Times New Roman" w:hAnsi="Times New Roman"/>
          <w:sz w:val="22"/>
          <w:szCs w:val="22"/>
          <w:lang w:val="uk-UA" w:eastAsia="ar-SA"/>
        </w:rPr>
        <w:t>оплату</w:t>
      </w:r>
      <w:r w:rsidR="000E12A6">
        <w:rPr>
          <w:rFonts w:ascii="Times New Roman" w:hAnsi="Times New Roman"/>
          <w:sz w:val="22"/>
          <w:szCs w:val="22"/>
          <w:lang w:val="uk-UA" w:eastAsia="ar-SA"/>
        </w:rPr>
        <w:t xml:space="preserve"> </w:t>
      </w:r>
      <w:r w:rsidR="00813BB8">
        <w:rPr>
          <w:rFonts w:ascii="Times New Roman" w:hAnsi="Times New Roman"/>
          <w:sz w:val="22"/>
          <w:szCs w:val="22"/>
          <w:lang w:val="uk-UA" w:eastAsia="ar-SA"/>
        </w:rPr>
        <w:t>за</w:t>
      </w:r>
      <w:r w:rsidR="000E12A6" w:rsidRPr="00581463">
        <w:rPr>
          <w:rFonts w:ascii="Times New Roman" w:hAnsi="Times New Roman"/>
          <w:sz w:val="22"/>
          <w:szCs w:val="22"/>
          <w:lang w:val="uk-UA" w:eastAsia="ar-SA"/>
        </w:rPr>
        <w:t xml:space="preserve"> Товар (парті</w:t>
      </w:r>
      <w:r w:rsidR="00813BB8">
        <w:rPr>
          <w:rFonts w:ascii="Times New Roman" w:hAnsi="Times New Roman"/>
          <w:sz w:val="22"/>
          <w:szCs w:val="22"/>
          <w:lang w:val="uk-UA" w:eastAsia="ar-SA"/>
        </w:rPr>
        <w:t>ю</w:t>
      </w:r>
      <w:r w:rsidR="000E12A6" w:rsidRPr="00581463">
        <w:rPr>
          <w:rFonts w:ascii="Times New Roman" w:hAnsi="Times New Roman"/>
          <w:sz w:val="22"/>
          <w:szCs w:val="22"/>
          <w:lang w:val="uk-UA" w:eastAsia="ar-SA"/>
        </w:rPr>
        <w:t xml:space="preserve"> Товару) </w:t>
      </w:r>
      <w:r w:rsidR="000E12A6">
        <w:rPr>
          <w:rFonts w:ascii="Times New Roman" w:hAnsi="Times New Roman"/>
          <w:sz w:val="22"/>
          <w:szCs w:val="22"/>
          <w:lang w:val="uk-UA" w:eastAsia="ar-SA"/>
        </w:rPr>
        <w:t>протягом</w:t>
      </w:r>
      <w:r w:rsidR="000E12A6" w:rsidRPr="00581463">
        <w:rPr>
          <w:rFonts w:ascii="Times New Roman" w:hAnsi="Times New Roman"/>
          <w:sz w:val="22"/>
          <w:szCs w:val="22"/>
          <w:lang w:val="uk-UA" w:eastAsia="ar-SA"/>
        </w:rPr>
        <w:t xml:space="preserve"> </w:t>
      </w:r>
      <w:r w:rsidR="001C4D14">
        <w:rPr>
          <w:rFonts w:ascii="Times New Roman" w:hAnsi="Times New Roman"/>
          <w:sz w:val="22"/>
          <w:szCs w:val="22"/>
          <w:lang w:val="uk-UA" w:eastAsia="ar-SA"/>
        </w:rPr>
        <w:t>30</w:t>
      </w:r>
      <w:r w:rsidR="000E12A6" w:rsidRPr="00581463">
        <w:rPr>
          <w:rFonts w:ascii="Times New Roman" w:hAnsi="Times New Roman"/>
          <w:sz w:val="22"/>
          <w:szCs w:val="22"/>
          <w:lang w:val="uk-UA" w:eastAsia="ar-SA"/>
        </w:rPr>
        <w:t>-</w:t>
      </w:r>
      <w:r w:rsidR="000E12A6">
        <w:rPr>
          <w:rFonts w:ascii="Times New Roman" w:hAnsi="Times New Roman"/>
          <w:sz w:val="22"/>
          <w:szCs w:val="22"/>
          <w:lang w:val="uk-UA" w:eastAsia="ar-SA"/>
        </w:rPr>
        <w:t>т</w:t>
      </w:r>
      <w:r w:rsidR="00813BB8">
        <w:rPr>
          <w:rFonts w:ascii="Times New Roman" w:hAnsi="Times New Roman"/>
          <w:sz w:val="22"/>
          <w:szCs w:val="22"/>
          <w:lang w:val="uk-UA" w:eastAsia="ar-SA"/>
        </w:rPr>
        <w:t>и</w:t>
      </w:r>
      <w:r w:rsidR="000E12A6" w:rsidRPr="00581463">
        <w:rPr>
          <w:rFonts w:ascii="Times New Roman" w:hAnsi="Times New Roman"/>
          <w:sz w:val="22"/>
          <w:szCs w:val="22"/>
          <w:lang w:val="uk-UA" w:eastAsia="ar-SA"/>
        </w:rPr>
        <w:t xml:space="preserve"> календарних днів</w:t>
      </w:r>
      <w:r w:rsidR="000E12A6">
        <w:rPr>
          <w:rFonts w:ascii="Times New Roman" w:hAnsi="Times New Roman"/>
          <w:sz w:val="22"/>
          <w:szCs w:val="22"/>
          <w:lang w:val="uk-UA" w:eastAsia="ar-SA"/>
        </w:rPr>
        <w:t xml:space="preserve">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9215E" w:rsidRPr="002F39BE" w:rsidRDefault="00D9215E" w:rsidP="00D9215E">
      <w:pPr>
        <w:tabs>
          <w:tab w:val="left" w:pos="993"/>
        </w:tabs>
        <w:suppressAutoHyphens/>
        <w:autoSpaceDE/>
        <w:autoSpaceDN/>
        <w:adjustRightInd/>
        <w:jc w:val="both"/>
        <w:rPr>
          <w:rFonts w:ascii="Times New Roman" w:hAnsi="Times New Roman"/>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t xml:space="preserve">4.1. </w:t>
      </w:r>
      <w:r w:rsidRPr="002F39BE">
        <w:rPr>
          <w:rFonts w:ascii="Times New Roman" w:hAnsi="Times New Roman"/>
          <w:lang w:val="uk-UA"/>
        </w:rPr>
        <w:t xml:space="preserve">Поставка Товару (партії Товару) здійснюється автомобільним транспортом згідно з </w:t>
      </w:r>
      <w:r w:rsidRPr="002F39BE">
        <w:rPr>
          <w:rFonts w:ascii="Times New Roman" w:hAnsi="Times New Roman"/>
          <w:lang w:val="uk-UA"/>
        </w:rPr>
        <w:lastRenderedPageBreak/>
        <w:t xml:space="preserve">Правил ІНКОТЕРМС – 2000 на умовах </w:t>
      </w:r>
      <w:r w:rsidR="001C4D14">
        <w:rPr>
          <w:rFonts w:ascii="Times New Roman" w:hAnsi="Times New Roman"/>
          <w:lang w:val="en-US"/>
        </w:rPr>
        <w:t>DDP</w:t>
      </w:r>
      <w:r w:rsidR="001C4D14">
        <w:rPr>
          <w:rFonts w:ascii="Times New Roman" w:hAnsi="Times New Roman"/>
          <w:lang w:val="uk-UA"/>
        </w:rPr>
        <w:t>, м. Суми (склад ПОКУПЦЯ</w:t>
      </w:r>
      <w:r w:rsidRPr="002F39BE">
        <w:rPr>
          <w:rFonts w:ascii="Times New Roman" w:hAnsi="Times New Roman"/>
          <w:lang w:val="uk-UA"/>
        </w:rPr>
        <w:t xml:space="preserve">) протягом </w:t>
      </w:r>
      <w:r w:rsidR="001C4D14">
        <w:rPr>
          <w:rFonts w:ascii="Times New Roman" w:hAnsi="Times New Roman"/>
          <w:lang w:val="uk-UA"/>
        </w:rPr>
        <w:t>7-м</w:t>
      </w:r>
      <w:r w:rsidRPr="002F39BE">
        <w:rPr>
          <w:rFonts w:ascii="Times New Roman" w:hAnsi="Times New Roman"/>
          <w:lang w:val="uk-UA"/>
        </w:rPr>
        <w:t xml:space="preserve">и </w:t>
      </w:r>
      <w:r w:rsidR="001C4D14">
        <w:rPr>
          <w:rFonts w:ascii="Times New Roman" w:hAnsi="Times New Roman"/>
          <w:lang w:val="uk-UA"/>
        </w:rPr>
        <w:t>календарних</w:t>
      </w:r>
      <w:r w:rsidRPr="002F39BE">
        <w:rPr>
          <w:rFonts w:ascii="Times New Roman" w:hAnsi="Times New Roman"/>
          <w:lang w:val="uk-UA"/>
        </w:rPr>
        <w:t xml:space="preserve"> днів з моменту </w:t>
      </w:r>
      <w:r w:rsidR="001C4D14">
        <w:rPr>
          <w:rFonts w:ascii="Times New Roman" w:hAnsi="Times New Roman"/>
          <w:lang w:val="uk-UA"/>
        </w:rPr>
        <w:t>підписання Договору</w:t>
      </w:r>
      <w:r w:rsidRPr="002F39BE">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4.2.Місце поставки Товару: </w:t>
      </w:r>
      <w:r w:rsidR="001C4D14">
        <w:rPr>
          <w:rFonts w:ascii="Times New Roman" w:hAnsi="Times New Roman"/>
          <w:lang w:val="en-US"/>
        </w:rPr>
        <w:t>DDP</w:t>
      </w:r>
      <w:r w:rsidR="001C4D14">
        <w:rPr>
          <w:rFonts w:ascii="Times New Roman" w:hAnsi="Times New Roman"/>
          <w:lang w:val="uk-UA"/>
        </w:rPr>
        <w:t>, м. Суми (склад ПОКУПЦЯ</w:t>
      </w:r>
      <w:r w:rsidR="001C4D14" w:rsidRPr="002F39BE">
        <w:rPr>
          <w:rFonts w:ascii="Times New Roman" w:hAnsi="Times New Roman"/>
          <w:lang w:val="uk-UA"/>
        </w:rPr>
        <w:t>)</w:t>
      </w:r>
      <w:r w:rsidR="001C4D14">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001C4D14">
        <w:rPr>
          <w:rFonts w:ascii="Times New Roman" w:eastAsia="Calibri" w:hAnsi="Times New Roman"/>
          <w:color w:val="000000"/>
          <w:lang w:val="uk-UA"/>
        </w:rPr>
        <w:t>сертифікат якості</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w:t>
      </w:r>
      <w:r w:rsidRPr="00372B82">
        <w:rPr>
          <w:rFonts w:ascii="Times New Roman" w:hAnsi="Times New Roman"/>
          <w:lang w:val="uk-UA"/>
        </w:rPr>
        <w:lastRenderedPageBreak/>
        <w:t>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6.2.1. Достроково розірвати цей Договір у разі невиконання зобов'язань «ПОСТАЧАЛЬНИКОМ»,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lastRenderedPageBreak/>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lastRenderedPageBreak/>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lastRenderedPageBreak/>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w:t>
      </w:r>
      <w:r w:rsidRPr="00DD381D">
        <w:rPr>
          <w:lang w:val="uk-UA"/>
        </w:rPr>
        <w:lastRenderedPageBreak/>
        <w:t xml:space="preserve">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lastRenderedPageBreak/>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EE7" w:rsidRDefault="005D2EE7" w:rsidP="00556C2D">
      <w:r>
        <w:separator/>
      </w:r>
    </w:p>
  </w:endnote>
  <w:endnote w:type="continuationSeparator" w:id="1">
    <w:p w:rsidR="005D2EE7" w:rsidRDefault="005D2EE7"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Journal">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EE7" w:rsidRDefault="005D2EE7" w:rsidP="00556C2D">
      <w:r>
        <w:separator/>
      </w:r>
    </w:p>
  </w:footnote>
  <w:footnote w:type="continuationSeparator" w:id="1">
    <w:p w:rsidR="005D2EE7" w:rsidRDefault="005D2EE7"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3C30C4">
    <w:pPr>
      <w:pStyle w:val="ae"/>
      <w:jc w:val="center"/>
    </w:pPr>
    <w:fldSimple w:instr=" PAGE   \* MERGEFORMAT ">
      <w:r w:rsidR="00E50F6F">
        <w:rPr>
          <w:noProof/>
        </w:rPr>
        <w:t>2</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21B1"/>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4D14"/>
    <w:rsid w:val="001C50BB"/>
    <w:rsid w:val="001D0F0D"/>
    <w:rsid w:val="001D5807"/>
    <w:rsid w:val="001D651E"/>
    <w:rsid w:val="001E483C"/>
    <w:rsid w:val="001E5358"/>
    <w:rsid w:val="001F3710"/>
    <w:rsid w:val="00200389"/>
    <w:rsid w:val="00203DF9"/>
    <w:rsid w:val="00204D77"/>
    <w:rsid w:val="0020548B"/>
    <w:rsid w:val="00210581"/>
    <w:rsid w:val="002157E3"/>
    <w:rsid w:val="0022027A"/>
    <w:rsid w:val="0022521A"/>
    <w:rsid w:val="00230194"/>
    <w:rsid w:val="00232076"/>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8D5"/>
    <w:rsid w:val="002D4340"/>
    <w:rsid w:val="002D5D9D"/>
    <w:rsid w:val="002E50B8"/>
    <w:rsid w:val="002F43A4"/>
    <w:rsid w:val="003022BA"/>
    <w:rsid w:val="00305E05"/>
    <w:rsid w:val="00306A51"/>
    <w:rsid w:val="00310B48"/>
    <w:rsid w:val="00312437"/>
    <w:rsid w:val="003242D6"/>
    <w:rsid w:val="00325A6F"/>
    <w:rsid w:val="00341362"/>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0C4"/>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D2EE7"/>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7BFD"/>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60EFC"/>
    <w:rsid w:val="00D62BFB"/>
    <w:rsid w:val="00D651CC"/>
    <w:rsid w:val="00D67E11"/>
    <w:rsid w:val="00D70041"/>
    <w:rsid w:val="00D72FC1"/>
    <w:rsid w:val="00D74E44"/>
    <w:rsid w:val="00D76C09"/>
    <w:rsid w:val="00D906F3"/>
    <w:rsid w:val="00D9215E"/>
    <w:rsid w:val="00D9458F"/>
    <w:rsid w:val="00DA49BA"/>
    <w:rsid w:val="00DA724B"/>
    <w:rsid w:val="00DA7686"/>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DE"/>
    <w:rsid w:val="00E413F8"/>
    <w:rsid w:val="00E4275E"/>
    <w:rsid w:val="00E475D4"/>
    <w:rsid w:val="00E50F6F"/>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3538</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8</cp:revision>
  <cp:lastPrinted>2023-05-23T07:50:00Z</cp:lastPrinted>
  <dcterms:created xsi:type="dcterms:W3CDTF">2024-06-24T08:21:00Z</dcterms:created>
  <dcterms:modified xsi:type="dcterms:W3CDTF">2024-09-04T08:57:00Z</dcterms:modified>
</cp:coreProperties>
</file>